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10</w:t>
      </w:r>
      <w:r>
        <w:rPr>
          <w:rFonts w:ascii="Arial" w:hAnsi="Arial" w:cs="Arial"/>
          <w:b/>
          <w:bCs/>
          <w:sz w:val="28"/>
        </w:rPr>
        <w:t>bis-e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w:t>
      </w:r>
      <w:r>
        <w:rPr>
          <w:rFonts w:hint="eastAsia" w:ascii="Arial" w:hAnsi="Arial" w:cs="Arial"/>
          <w:b/>
          <w:bCs/>
          <w:sz w:val="28"/>
          <w:szCs w:val="24"/>
          <w:lang w:val="en-US" w:eastAsia="zh-CN"/>
        </w:rPr>
        <w:t>2</w:t>
      </w:r>
      <w:r>
        <w:rPr>
          <w:rFonts w:ascii="Arial" w:hAnsi="Arial" w:eastAsia="Batang" w:cs="Arial"/>
          <w:b/>
          <w:bCs/>
          <w:sz w:val="28"/>
          <w:szCs w:val="24"/>
          <w:lang w:eastAsia="en-US"/>
        </w:rPr>
        <w:t>0</w:t>
      </w:r>
      <w:r>
        <w:rPr>
          <w:rFonts w:hint="eastAsia" w:ascii="Arial" w:hAnsi="Arial" w:cs="Arial"/>
          <w:b/>
          <w:bCs/>
          <w:sz w:val="28"/>
          <w:szCs w:val="24"/>
          <w:lang w:val="en-US" w:eastAsia="zh-CN"/>
        </w:rPr>
        <w:t>9170</w:t>
      </w:r>
    </w:p>
    <w:p>
      <w:pPr>
        <w:tabs>
          <w:tab w:val="center" w:pos="4536"/>
          <w:tab w:val="right" w:pos="9072"/>
        </w:tabs>
        <w:rPr>
          <w:sz w:val="24"/>
          <w:szCs w:val="24"/>
          <w:lang w:eastAsia="zh-CN"/>
        </w:rPr>
      </w:pPr>
      <w:r>
        <w:rPr>
          <w:rFonts w:ascii="Arial" w:hAnsi="Arial" w:eastAsia="MS Mincho" w:cs="Arial"/>
          <w:b/>
          <w:bCs/>
          <w:sz w:val="28"/>
          <w:lang w:eastAsia="ja-JP"/>
        </w:rPr>
        <w:t>e-Meeting, October 10</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2022 </w:t>
      </w:r>
    </w:p>
    <w:p>
      <w:pPr>
        <w:pStyle w:val="19"/>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19"/>
        <w:spacing w:after="0"/>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19"/>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19"/>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bookmarkStart w:id="4" w:name="_Toc120549591"/>
      <w:r>
        <w:rPr>
          <w:rFonts w:ascii="Arial" w:hAnsi="Arial" w:eastAsia="宋体" w:cs="Times New Roman"/>
          <w:b w:val="0"/>
          <w:bCs w:val="0"/>
          <w:kern w:val="0"/>
          <w:sz w:val="32"/>
          <w:szCs w:val="32"/>
          <w:lang w:val="en-US" w:eastAsia="zh-CN" w:bidi="ar-SA"/>
        </w:rPr>
        <w:t>Introduction</w:t>
      </w:r>
      <w:bookmarkEnd w:id="4"/>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ja-JP"/>
        </w:rPr>
        <w:t>In RAN#</w:t>
      </w:r>
      <w:r>
        <w:rPr>
          <w:rFonts w:hint="eastAsia" w:ascii="Times New Roman" w:hAnsi="Times New Roman" w:cs="Times New Roman"/>
          <w:sz w:val="21"/>
          <w:szCs w:val="22"/>
          <w:lang w:val="en-US" w:eastAsia="zh-CN"/>
        </w:rPr>
        <w:t>97</w:t>
      </w:r>
      <w:r>
        <w:rPr>
          <w:rFonts w:hint="eastAsia" w:cs="Times New Roman"/>
          <w:sz w:val="21"/>
          <w:szCs w:val="22"/>
          <w:lang w:val="en-US" w:eastAsia="zh-CN"/>
        </w:rPr>
        <w:t>e</w:t>
      </w:r>
      <w:r>
        <w:rPr>
          <w:rFonts w:hint="eastAsia" w:ascii="Times New Roman" w:hAnsi="Times New Roman" w:cs="Times New Roman"/>
          <w:sz w:val="21"/>
          <w:szCs w:val="22"/>
          <w:lang w:val="en-US" w:eastAsia="ja-JP"/>
        </w:rPr>
        <w:t xml:space="preserve"> </w:t>
      </w:r>
      <w:r>
        <w:rPr>
          <w:rFonts w:hint="eastAsia" w:ascii="Times New Roman" w:hAnsi="Times New Roman" w:cs="Times New Roman"/>
          <w:sz w:val="21"/>
          <w:szCs w:val="22"/>
          <w:lang w:val="en-US" w:eastAsia="zh-CN"/>
        </w:rPr>
        <w:t>meeting, a new WID on enhanced support of reduced capability NR devices was approved[1]. The objectives is as follows:</w:t>
      </w:r>
    </w:p>
    <w:tbl>
      <w:tblPr>
        <w:tblStyle w:val="1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ind w:right="-99"/>
              <w:jc w:val="both"/>
              <w:textAlignment w:val="baseline"/>
              <w:rPr>
                <w:lang w:eastAsia="ja-JP"/>
              </w:rPr>
            </w:pPr>
            <w:r>
              <w:rPr>
                <w:lang w:eastAsia="ja-JP"/>
              </w:rPr>
              <w:t xml:space="preserve">The objective is to specify support for the following enhancements: </w:t>
            </w:r>
          </w:p>
          <w:p>
            <w:pPr>
              <w:overflowPunct w:val="0"/>
              <w:autoSpaceDE w:val="0"/>
              <w:autoSpaceDN w:val="0"/>
              <w:adjustRightInd w:val="0"/>
              <w:ind w:right="-99"/>
              <w:textAlignment w:val="baseline"/>
              <w:rPr>
                <w:b/>
                <w:bCs/>
                <w:lang w:eastAsia="ja-JP"/>
              </w:rPr>
            </w:pPr>
            <w:r>
              <w:rPr>
                <w:b/>
                <w:bCs/>
                <w:lang w:eastAsia="ja-JP"/>
              </w:rPr>
              <w:t>Power saving/energy efficiency enhancements</w:t>
            </w:r>
          </w:p>
          <w:p>
            <w:pPr>
              <w:numPr>
                <w:ilvl w:val="0"/>
                <w:numId w:val="2"/>
              </w:numPr>
              <w:overflowPunct w:val="0"/>
              <w:autoSpaceDE w:val="0"/>
              <w:autoSpaceDN w:val="0"/>
              <w:adjustRightInd w:val="0"/>
              <w:ind w:right="-99"/>
              <w:textAlignment w:val="baseline"/>
              <w:rPr>
                <w:lang w:eastAsia="ja-JP"/>
              </w:rPr>
            </w:pPr>
            <w:r>
              <w:rPr>
                <w:lang w:eastAsia="ja-JP"/>
              </w:rPr>
              <w:t>Enhanced eDRX in RRC_INACTIVE (&gt;10.24s) [RAN2, RAN3, RAN4]</w:t>
            </w:r>
          </w:p>
          <w:p>
            <w:pPr>
              <w:numPr>
                <w:ilvl w:val="1"/>
                <w:numId w:val="2"/>
              </w:numPr>
              <w:overflowPunct w:val="0"/>
              <w:autoSpaceDE w:val="0"/>
              <w:autoSpaceDN w:val="0"/>
              <w:adjustRightInd w:val="0"/>
              <w:ind w:right="-99"/>
              <w:textAlignment w:val="baseline"/>
              <w:rPr>
                <w:lang w:eastAsia="ja-JP"/>
              </w:rPr>
            </w:pPr>
            <w:r>
              <w:rPr>
                <w:rFonts w:hint="eastAsia"/>
                <w:lang w:eastAsia="ja-JP"/>
              </w:rPr>
              <w:t xml:space="preserve">Note that this objective requires SA2 </w:t>
            </w:r>
            <w:r>
              <w:rPr>
                <w:lang w:eastAsia="ja-JP"/>
              </w:rPr>
              <w:t xml:space="preserve">and </w:t>
            </w:r>
            <w:r>
              <w:rPr>
                <w:rFonts w:hint="eastAsia"/>
                <w:lang w:eastAsia="ja-JP"/>
              </w:rPr>
              <w:t>CT1</w:t>
            </w:r>
            <w:r>
              <w:rPr>
                <w:lang w:eastAsia="ja-JP"/>
              </w:rPr>
              <w:t xml:space="preserve"> </w:t>
            </w:r>
            <w:r>
              <w:rPr>
                <w:rFonts w:hint="eastAsia"/>
                <w:lang w:eastAsia="ja-JP"/>
              </w:rPr>
              <w:t>involvement</w:t>
            </w:r>
          </w:p>
          <w:p>
            <w:pPr>
              <w:overflowPunct w:val="0"/>
              <w:autoSpaceDE w:val="0"/>
              <w:autoSpaceDN w:val="0"/>
              <w:adjustRightInd w:val="0"/>
              <w:ind w:right="-99"/>
              <w:textAlignment w:val="baseline"/>
              <w:rPr>
                <w:b/>
                <w:bCs/>
                <w:lang w:eastAsia="ja-JP"/>
              </w:rPr>
            </w:pPr>
            <w:r>
              <w:rPr>
                <w:b/>
                <w:bCs/>
                <w:lang w:eastAsia="ja-JP"/>
              </w:rPr>
              <w:t>Complexity/cost reduction</w:t>
            </w:r>
          </w:p>
          <w:p>
            <w:pPr>
              <w:numPr>
                <w:ilvl w:val="0"/>
                <w:numId w:val="3"/>
              </w:numPr>
              <w:overflowPunct w:val="0"/>
              <w:autoSpaceDE w:val="0"/>
              <w:autoSpaceDN w:val="0"/>
              <w:adjustRightInd w:val="0"/>
              <w:ind w:right="-99"/>
              <w:textAlignment w:val="baseline"/>
              <w:rPr>
                <w:lang w:eastAsia="ja-JP"/>
              </w:rPr>
            </w:pPr>
            <w:r>
              <w:rPr>
                <w:lang w:eastAsia="ja-JP"/>
              </w:rPr>
              <w:t>Further reduced UE complexity in FR1 [RAN1, RAN2, RAN4]</w:t>
            </w:r>
          </w:p>
          <w:p>
            <w:pPr>
              <w:pStyle w:val="28"/>
              <w:numPr>
                <w:ilvl w:val="1"/>
                <w:numId w:val="2"/>
              </w:numPr>
              <w:overflowPunct w:val="0"/>
              <w:autoSpaceDE w:val="0"/>
              <w:autoSpaceDN w:val="0"/>
              <w:adjustRightInd w:val="0"/>
              <w:textAlignment w:val="baseline"/>
              <w:rPr>
                <w:lang w:val="en-US"/>
              </w:rPr>
            </w:pPr>
            <w:r>
              <w:rPr>
                <w:lang w:val="en-US"/>
              </w:rPr>
              <w:t>UE BB bandwidth reduction</w:t>
            </w:r>
          </w:p>
          <w:p>
            <w:pPr>
              <w:pStyle w:val="28"/>
              <w:numPr>
                <w:ilvl w:val="2"/>
                <w:numId w:val="2"/>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pPr>
              <w:pStyle w:val="28"/>
              <w:numPr>
                <w:ilvl w:val="2"/>
                <w:numId w:val="2"/>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pPr>
              <w:numPr>
                <w:ilvl w:val="1"/>
                <w:numId w:val="2"/>
              </w:numPr>
              <w:overflowPunct w:val="0"/>
              <w:autoSpaceDE w:val="0"/>
              <w:autoSpaceDN w:val="0"/>
              <w:adjustRightInd w:val="0"/>
              <w:ind w:right="-99"/>
              <w:textAlignment w:val="baseline"/>
              <w:rPr>
                <w:lang w:eastAsia="ja-JP"/>
              </w:rPr>
            </w:pPr>
            <w:r>
              <w:rPr>
                <w:lang w:eastAsia="ja-JP"/>
              </w:rPr>
              <w:t>UE peak data rate reduction</w:t>
            </w:r>
          </w:p>
          <w:p>
            <w:pPr>
              <w:pStyle w:val="28"/>
              <w:numPr>
                <w:ilvl w:val="2"/>
                <w:numId w:val="2"/>
              </w:numPr>
              <w:overflowPunct w:val="0"/>
              <w:autoSpaceDE w:val="0"/>
              <w:autoSpaceDN w:val="0"/>
              <w:adjustRightInd w:val="0"/>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28"/>
              <w:numPr>
                <w:ilvl w:val="2"/>
                <w:numId w:val="2"/>
              </w:numPr>
              <w:overflowPunct w:val="0"/>
              <w:autoSpaceDE w:val="0"/>
              <w:autoSpaceDN w:val="0"/>
              <w:adjustRightInd w:val="0"/>
              <w:textAlignment w:val="baseline"/>
              <w:rPr>
                <w:lang w:val="en-US"/>
              </w:rPr>
            </w:pPr>
            <w:r>
              <w:rPr>
                <w:lang w:val="en-US"/>
              </w:rPr>
              <w:t>The relaxed constraint is, e.g., 1 (instead of 4).</w:t>
            </w:r>
          </w:p>
          <w:p>
            <w:pPr>
              <w:pStyle w:val="28"/>
              <w:numPr>
                <w:ilvl w:val="2"/>
                <w:numId w:val="2"/>
              </w:numPr>
              <w:overflowPunct w:val="0"/>
              <w:autoSpaceDE w:val="0"/>
              <w:autoSpaceDN w:val="0"/>
              <w:adjustRightInd w:val="0"/>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26"/>
              <w:numPr>
                <w:ilvl w:val="1"/>
                <w:numId w:val="2"/>
              </w:numPr>
              <w:overflowPunct w:val="0"/>
              <w:autoSpaceDE w:val="0"/>
              <w:autoSpaceDN w:val="0"/>
              <w:adjustRightInd w:val="0"/>
              <w:textAlignment w:val="baseline"/>
              <w:rPr>
                <w:lang w:val="en-US" w:eastAsia="ja-JP"/>
              </w:rPr>
            </w:pPr>
            <w:r>
              <w:rPr>
                <w:lang w:val="en-US" w:eastAsia="ja-JP"/>
              </w:rPr>
              <w:t>Both 15 kHz SCS and 30 kHz SCS are supported.</w:t>
            </w:r>
          </w:p>
          <w:p>
            <w:pPr>
              <w:pStyle w:val="26"/>
              <w:numPr>
                <w:ilvl w:val="1"/>
                <w:numId w:val="2"/>
              </w:numPr>
              <w:overflowPunct w:val="0"/>
              <w:autoSpaceDE w:val="0"/>
              <w:autoSpaceDN w:val="0"/>
              <w:adjustRightInd w:val="0"/>
              <w:textAlignment w:val="baseline"/>
              <w:rPr>
                <w:lang w:val="en-US" w:eastAsia="ja-JP"/>
              </w:rPr>
            </w:pPr>
            <w:r>
              <w:rPr>
                <w:lang w:val="en-US" w:eastAsia="ja-JP"/>
              </w:rPr>
              <w:t>Aim to define at most one Rel-18 RedCap UE type for further UE complexity reduction.</w:t>
            </w:r>
          </w:p>
          <w:p>
            <w:pPr>
              <w:numPr>
                <w:ilvl w:val="1"/>
                <w:numId w:val="2"/>
              </w:numPr>
              <w:overflowPunct w:val="0"/>
              <w:autoSpaceDE w:val="0"/>
              <w:autoSpaceDN w:val="0"/>
              <w:adjustRightInd w:val="0"/>
              <w:ind w:right="-99"/>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pStyle w:val="28"/>
              <w:overflowPunct w:val="0"/>
              <w:autoSpaceDE w:val="0"/>
              <w:autoSpaceDN w:val="0"/>
              <w:adjustRightInd w:val="0"/>
              <w:ind w:left="0" w:firstLine="0"/>
              <w:textAlignment w:val="baseline"/>
              <w:rPr>
                <w:lang w:val="en-US" w:eastAsia="ja-JP"/>
              </w:rPr>
            </w:pPr>
            <w:r>
              <w:rPr>
                <w:lang w:val="en-US" w:eastAsia="ja-JP"/>
              </w:rPr>
              <w:t>Notes:</w:t>
            </w:r>
          </w:p>
          <w:p>
            <w:pPr>
              <w:pStyle w:val="26"/>
              <w:numPr>
                <w:ilvl w:val="0"/>
                <w:numId w:val="4"/>
              </w:numPr>
              <w:overflowPunct w:val="0"/>
              <w:autoSpaceDE w:val="0"/>
              <w:autoSpaceDN w:val="0"/>
              <w:adjustRightInd w:val="0"/>
              <w:textAlignment w:val="baseline"/>
              <w:rPr>
                <w:lang w:val="en-US" w:eastAsia="ja-JP"/>
              </w:rPr>
            </w:pPr>
            <w:r>
              <w:rPr>
                <w:lang w:val="en-US" w:eastAsia="ja-JP"/>
              </w:rPr>
              <w:t>The work defined as part of this WI is not to overlap with LPWA use cases.</w:t>
            </w:r>
          </w:p>
          <w:p>
            <w:pPr>
              <w:pStyle w:val="26"/>
              <w:numPr>
                <w:ilvl w:val="0"/>
                <w:numId w:val="4"/>
              </w:numPr>
              <w:overflowPunct w:val="0"/>
              <w:autoSpaceDE w:val="0"/>
              <w:autoSpaceDN w:val="0"/>
              <w:adjustRightInd w:val="0"/>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pPr>
              <w:pStyle w:val="26"/>
              <w:numPr>
                <w:ilvl w:val="0"/>
                <w:numId w:val="4"/>
              </w:numPr>
              <w:overflowPunct w:val="0"/>
              <w:autoSpaceDE w:val="0"/>
              <w:autoSpaceDN w:val="0"/>
              <w:adjustRightInd w:val="0"/>
              <w:textAlignment w:val="baseline"/>
              <w:rPr>
                <w:lang w:val="en-US" w:eastAsia="ja-JP"/>
              </w:rPr>
            </w:pPr>
            <w:r>
              <w:rPr>
                <w:lang w:val="en-US" w:eastAsia="ja-JP"/>
              </w:rPr>
              <w:t>This WI considers all applicable duplex modes unless otherwise specified.</w:t>
            </w:r>
          </w:p>
          <w:p>
            <w:pPr>
              <w:pStyle w:val="26"/>
              <w:overflowPunct w:val="0"/>
              <w:autoSpaceDE w:val="0"/>
              <w:autoSpaceDN w:val="0"/>
              <w:adjustRightInd w:val="0"/>
              <w:ind w:left="0" w:firstLine="0"/>
              <w:textAlignment w:val="baseline"/>
              <w:rPr>
                <w:lang w:val="en-US" w:eastAsia="ja-JP"/>
              </w:rPr>
            </w:pPr>
            <w:r>
              <w:rPr>
                <w:lang w:val="en-US" w:eastAsia="ja-JP"/>
              </w:rPr>
              <w:t>Check in RAN#98-e regarding:</w:t>
            </w:r>
          </w:p>
          <w:p>
            <w:pPr>
              <w:pStyle w:val="26"/>
              <w:numPr>
                <w:ilvl w:val="0"/>
                <w:numId w:val="3"/>
              </w:numPr>
              <w:overflowPunct w:val="0"/>
              <w:autoSpaceDE w:val="0"/>
              <w:autoSpaceDN w:val="0"/>
              <w:adjustRightInd w:val="0"/>
              <w:textAlignment w:val="baseline"/>
              <w:rPr>
                <w:lang w:val="en-US" w:eastAsia="ja-JP"/>
              </w:rPr>
            </w:pPr>
            <w:r>
              <w:rPr>
                <w:lang w:val="en-US" w:eastAsia="ja-JP"/>
              </w:rPr>
              <w:t>Whether UE peak data rate reduction for UE is limited only with UE BB bandwidth reduction or standalone</w:t>
            </w:r>
          </w:p>
          <w:p>
            <w:pPr>
              <w:pStyle w:val="26"/>
              <w:numPr>
                <w:ilvl w:val="0"/>
                <w:numId w:val="3"/>
              </w:numPr>
              <w:overflowPunct w:val="0"/>
              <w:autoSpaceDE w:val="0"/>
              <w:autoSpaceDN w:val="0"/>
              <w:adjustRightInd w:val="0"/>
              <w:textAlignment w:val="baseline"/>
              <w:rPr>
                <w:lang w:val="en-US" w:eastAsia="ja-JP"/>
              </w:rPr>
            </w:pPr>
            <w:r>
              <w:rPr>
                <w:lang w:val="en-US" w:eastAsia="ja-JP"/>
              </w:rPr>
              <w:t>Whether or not/how a separate early indication can be supported</w:t>
            </w:r>
          </w:p>
          <w:p>
            <w:pPr>
              <w:pStyle w:val="26"/>
              <w:numPr>
                <w:ilvl w:val="0"/>
                <w:numId w:val="3"/>
              </w:numPr>
              <w:overflowPunct w:val="0"/>
              <w:autoSpaceDE w:val="0"/>
              <w:autoSpaceDN w:val="0"/>
              <w:adjustRightInd w:val="0"/>
              <w:textAlignment w:val="baseline"/>
              <w:rPr>
                <w:vertAlign w:val="baseline"/>
                <w:lang w:eastAsia="ja-JP"/>
              </w:rPr>
            </w:pPr>
            <w:r>
              <w:rPr>
                <w:lang w:val="en-US" w:eastAsia="ja-JP"/>
              </w:rPr>
              <w:t>Other restrictions of the WI (e.g., connectivity restrictions, band, etc.)</w:t>
            </w:r>
          </w:p>
        </w:tc>
      </w:tr>
    </w:tbl>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In this contribution, the UE complexity/cost reduction feature </w:t>
      </w:r>
      <w:r>
        <w:rPr>
          <w:rFonts w:hint="eastAsia" w:cs="Times New Roman"/>
          <w:sz w:val="21"/>
          <w:szCs w:val="22"/>
          <w:lang w:val="en-US" w:eastAsia="zh-CN"/>
        </w:rPr>
        <w:t xml:space="preserve">and the leftover in RAN#97 </w:t>
      </w:r>
      <w:r>
        <w:rPr>
          <w:rFonts w:hint="eastAsia" w:ascii="Times New Roman" w:hAnsi="Times New Roman" w:cs="Times New Roman"/>
          <w:sz w:val="21"/>
          <w:szCs w:val="22"/>
          <w:lang w:val="en-US" w:eastAsia="zh-CN"/>
        </w:rPr>
        <w:t xml:space="preserve">will be </w:t>
      </w:r>
      <w:r>
        <w:rPr>
          <w:rFonts w:hint="eastAsia" w:cs="Times New Roman"/>
          <w:sz w:val="21"/>
          <w:szCs w:val="22"/>
          <w:lang w:val="en-US" w:eastAsia="zh-CN"/>
        </w:rPr>
        <w:t>discussed</w:t>
      </w:r>
      <w:r>
        <w:rPr>
          <w:rFonts w:hint="eastAsia" w:ascii="Times New Roman" w:hAnsi="Times New Roman" w:cs="Times New Roman"/>
          <w:sz w:val="21"/>
          <w:szCs w:val="22"/>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 xml:space="preserve">Discussion on </w:t>
      </w:r>
      <w:r>
        <w:rPr>
          <w:rFonts w:hint="eastAsia" w:ascii="Arial" w:hAnsi="Arial" w:eastAsia="宋体" w:cs="Times New Roman"/>
          <w:b w:val="0"/>
          <w:bCs w:val="0"/>
          <w:kern w:val="0"/>
          <w:sz w:val="32"/>
          <w:szCs w:val="32"/>
          <w:lang w:val="en-US" w:eastAsia="zh-CN" w:bidi="ar-SA"/>
        </w:rPr>
        <w:t xml:space="preserve">further </w:t>
      </w:r>
      <w:r>
        <w:rPr>
          <w:rFonts w:ascii="Arial" w:hAnsi="Arial" w:eastAsia="宋体" w:cs="Times New Roman"/>
          <w:b w:val="0"/>
          <w:bCs w:val="0"/>
          <w:kern w:val="0"/>
          <w:sz w:val="32"/>
          <w:szCs w:val="32"/>
          <w:lang w:val="en-US" w:eastAsia="zh-CN" w:bidi="ar-SA"/>
        </w:rPr>
        <w:t>UE complexity reductio</w:t>
      </w:r>
      <w:r>
        <w:rPr>
          <w:rFonts w:ascii="Arial" w:hAnsi="Arial" w:eastAsia="宋体" w:cs="Times New Roman"/>
          <w:b w:val="0"/>
          <w:bCs w:val="0"/>
          <w:kern w:val="0"/>
          <w:sz w:val="32"/>
          <w:szCs w:val="32"/>
          <w:lang w:val="en-GB" w:eastAsia="zh-CN" w:bidi="ar-SA"/>
        </w:rPr>
        <w:t>n features</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default"/>
          <w:b w:val="0"/>
          <w:bCs w:val="0"/>
          <w:lang w:val="en-GB" w:eastAsia="ja-JP"/>
        </w:rPr>
      </w:pPr>
      <w:r>
        <w:rPr>
          <w:rFonts w:hint="eastAsia"/>
          <w:b w:val="0"/>
          <w:bCs w:val="0"/>
          <w:lang w:val="en-US" w:eastAsia="ja-JP"/>
        </w:rPr>
        <w:t>UE BB bandwidth reduction</w:t>
      </w: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Firstly, the exact meaning of the bandwidth reduction feature in WI will be clarified, according to the following sections in TR38.865[2].</w:t>
      </w:r>
    </w:p>
    <w:tbl>
      <w:tblPr>
        <w:tblStyle w:val="1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bidi w:val="0"/>
              <w:adjustRightInd w:val="0"/>
              <w:textAlignment w:val="baseline"/>
              <w:rPr>
                <w:rFonts w:hint="default" w:eastAsia="宋体"/>
                <w:lang w:val="en-US" w:eastAsia="zh-CN"/>
              </w:rPr>
            </w:pPr>
            <w:bookmarkStart w:id="5" w:name="_Toc114476615"/>
            <w:bookmarkStart w:id="6" w:name="_Toc114476620"/>
            <w:r>
              <w:rPr>
                <w:rFonts w:hint="eastAsia"/>
                <w:lang w:val="en-US" w:eastAsia="zh-CN"/>
              </w:rPr>
              <w:t>TR 38.865</w:t>
            </w:r>
          </w:p>
          <w:p>
            <w:pPr>
              <w:overflowPunct w:val="0"/>
              <w:autoSpaceDE w:val="0"/>
              <w:autoSpaceDN w:val="0"/>
              <w:bidi w:val="0"/>
              <w:adjustRightInd w:val="0"/>
              <w:textAlignment w:val="baseline"/>
            </w:pPr>
            <w:r>
              <w:t>7.2.1</w:t>
            </w:r>
            <w:r>
              <w:tab/>
            </w:r>
            <w:r>
              <w:t>Description of feature</w:t>
            </w:r>
            <w:bookmarkEnd w:id="5"/>
          </w:p>
          <w:p>
            <w:pPr>
              <w:overflowPunct w:val="0"/>
              <w:autoSpaceDE w:val="0"/>
              <w:autoSpaceDN w:val="0"/>
              <w:adjustRightInd w:val="0"/>
              <w:textAlignment w:val="baseline"/>
              <w:rPr>
                <w:szCs w:val="24"/>
                <w:lang w:val="en-US"/>
              </w:rPr>
            </w:pPr>
            <w:r>
              <w:rPr>
                <w:szCs w:val="24"/>
                <w:lang w:val="en-US"/>
              </w:rPr>
              <w:t>In the study, the main UE bandwidth reduction options considered for FR1 are as follows:</w:t>
            </w:r>
          </w:p>
          <w:p>
            <w:pPr>
              <w:pStyle w:val="26"/>
              <w:overflowPunct w:val="0"/>
              <w:autoSpaceDE w:val="0"/>
              <w:autoSpaceDN w:val="0"/>
              <w:adjustRightInd w:val="0"/>
              <w:textAlignment w:val="baseline"/>
              <w:rPr>
                <w:rFonts w:hint="eastAsia"/>
                <w:lang w:val="en-US" w:eastAsia="zh-CN"/>
              </w:rPr>
            </w:pPr>
            <w:r>
              <w:rPr>
                <w:rFonts w:hint="eastAsia"/>
                <w:lang w:val="en-US" w:eastAsia="zh-CN"/>
              </w:rPr>
              <w:t>[......]</w:t>
            </w:r>
          </w:p>
          <w:p>
            <w:pPr>
              <w:pStyle w:val="26"/>
              <w:overflowPunct w:val="0"/>
              <w:autoSpaceDE w:val="0"/>
              <w:autoSpaceDN w:val="0"/>
              <w:adjustRightInd w:val="0"/>
              <w:textAlignment w:val="baseline"/>
            </w:pPr>
            <w:r>
              <w:t>-</w:t>
            </w:r>
            <w:r>
              <w:tab/>
            </w:r>
            <w:r>
              <w:t>Option BW3: 5 MHz BB bandwidth only for PDSCH (for both unicast and broadcast) and PUSCH with 20 MHz RF bandwidth for UL and DL. The other physical channels and signals are still allowed to use a BWP up to the 20 MHz maximum UE RF+BB bandwidth.</w:t>
            </w:r>
          </w:p>
          <w:p>
            <w:pPr>
              <w:overflowPunct w:val="0"/>
              <w:autoSpaceDE w:val="0"/>
              <w:autoSpaceDN w:val="0"/>
              <w:adjustRightInd w:val="0"/>
              <w:textAlignment w:val="baseline"/>
              <w:rPr>
                <w:szCs w:val="24"/>
                <w:lang w:val="en-US"/>
              </w:rPr>
            </w:pPr>
            <w:r>
              <w:rPr>
                <w:szCs w:val="24"/>
                <w:lang w:val="en-US"/>
              </w:rPr>
              <w:t>For the above bandwidth reduction options, the following aspects are considered:</w:t>
            </w:r>
          </w:p>
          <w:p>
            <w:pPr>
              <w:pStyle w:val="26"/>
              <w:overflowPunct w:val="0"/>
              <w:autoSpaceDE w:val="0"/>
              <w:autoSpaceDN w:val="0"/>
              <w:adjustRightInd w:val="0"/>
              <w:textAlignment w:val="baseline"/>
              <w:rPr>
                <w:b/>
                <w:bCs/>
              </w:rPr>
            </w:pPr>
            <w:r>
              <w:t>-</w:t>
            </w:r>
            <w:r>
              <w:tab/>
            </w:r>
            <w:r>
              <w:t xml:space="preserve">The resource </w:t>
            </w:r>
            <w:r>
              <w:rPr>
                <w:b w:val="0"/>
                <w:bCs w:val="0"/>
              </w:rPr>
              <w:t>allocation spans a bandwidth of maximum 5 MHz.</w:t>
            </w:r>
          </w:p>
          <w:p>
            <w:pPr>
              <w:pStyle w:val="26"/>
              <w:overflowPunct w:val="0"/>
              <w:autoSpaceDE w:val="0"/>
              <w:autoSpaceDN w:val="0"/>
              <w:adjustRightInd w:val="0"/>
              <w:textAlignment w:val="baseline"/>
            </w:pPr>
            <w:r>
              <w:t>-</w:t>
            </w:r>
            <w:r>
              <w:tab/>
            </w:r>
            <w:r>
              <w:t>The same option is used for UL and DL.</w:t>
            </w:r>
          </w:p>
          <w:p>
            <w:pPr>
              <w:pStyle w:val="26"/>
              <w:overflowPunct w:val="0"/>
              <w:autoSpaceDE w:val="0"/>
              <w:autoSpaceDN w:val="0"/>
              <w:adjustRightInd w:val="0"/>
              <w:textAlignment w:val="baseline"/>
            </w:pPr>
            <w:r>
              <w:t>-</w:t>
            </w:r>
            <w:r>
              <w:tab/>
            </w:r>
            <w:r>
              <w:t>The same option is used for idle/inactive and connected mode.</w:t>
            </w:r>
          </w:p>
          <w:p>
            <w:pPr>
              <w:pStyle w:val="26"/>
              <w:overflowPunct w:val="0"/>
              <w:autoSpaceDE w:val="0"/>
              <w:autoSpaceDN w:val="0"/>
              <w:adjustRightInd w:val="0"/>
              <w:textAlignment w:val="baseline"/>
            </w:pPr>
            <w:r>
              <w:t>-</w:t>
            </w:r>
            <w:r>
              <w:tab/>
            </w:r>
            <w:r>
              <w:t>Note: As part of study of above options, it is not precluded to indicate that an observation is relevant for UL only or DL only.</w:t>
            </w:r>
          </w:p>
          <w:p>
            <w:pPr>
              <w:pStyle w:val="26"/>
              <w:overflowPunct w:val="0"/>
              <w:autoSpaceDE w:val="0"/>
              <w:autoSpaceDN w:val="0"/>
              <w:adjustRightInd w:val="0"/>
              <w:textAlignment w:val="baseline"/>
            </w:pPr>
            <w:r>
              <w:t>-</w:t>
            </w:r>
            <w:r>
              <w:tab/>
            </w:r>
            <w:r>
              <w:t xml:space="preserve">For 15 kHz SCS, </w:t>
            </w:r>
            <w:r>
              <w:rPr>
                <w:b w:val="0"/>
                <w:bCs w:val="0"/>
              </w:rPr>
              <w:t>25 contiguous RBs are as</w:t>
            </w:r>
            <w:r>
              <w:t>sumed to fit within the 5 MHz.</w:t>
            </w:r>
          </w:p>
          <w:p>
            <w:pPr>
              <w:pStyle w:val="26"/>
              <w:overflowPunct w:val="0"/>
              <w:autoSpaceDE w:val="0"/>
              <w:autoSpaceDN w:val="0"/>
              <w:adjustRightInd w:val="0"/>
              <w:textAlignment w:val="baseline"/>
            </w:pPr>
            <w:r>
              <w:t>-</w:t>
            </w:r>
            <w:r>
              <w:tab/>
            </w:r>
            <w:r>
              <w:t>For 30 kHz SCS, 11 contiguous RBs are assumed to fit within the 5 MHz.</w:t>
            </w:r>
          </w:p>
          <w:p>
            <w:pPr>
              <w:pStyle w:val="26"/>
              <w:overflowPunct w:val="0"/>
              <w:autoSpaceDE w:val="0"/>
              <w:autoSpaceDN w:val="0"/>
              <w:adjustRightInd w:val="0"/>
              <w:textAlignment w:val="baseline"/>
            </w:pPr>
            <w:r>
              <w:t>-</w:t>
            </w:r>
            <w:r>
              <w:tab/>
            </w:r>
            <w:r>
              <w:t>Note: For 30 kHz SCS, 12 contiguous RBs are also optionally studied.</w:t>
            </w:r>
          </w:p>
          <w:p>
            <w:pPr>
              <w:overflowPunct w:val="0"/>
              <w:autoSpaceDE w:val="0"/>
              <w:autoSpaceDN w:val="0"/>
              <w:bidi w:val="0"/>
              <w:adjustRightInd w:val="0"/>
              <w:textAlignment w:val="baseline"/>
            </w:pPr>
            <w:r>
              <w:t>7.3</w:t>
            </w:r>
            <w:r>
              <w:tab/>
            </w:r>
            <w:r>
              <w:t>Further UE peak rate reduction</w:t>
            </w:r>
            <w:bookmarkEnd w:id="6"/>
          </w:p>
          <w:p>
            <w:pPr>
              <w:overflowPunct w:val="0"/>
              <w:autoSpaceDE w:val="0"/>
              <w:autoSpaceDN w:val="0"/>
              <w:bidi w:val="0"/>
              <w:adjustRightInd w:val="0"/>
              <w:textAlignment w:val="baseline"/>
            </w:pPr>
            <w:bookmarkStart w:id="7" w:name="_Toc114476621"/>
            <w:r>
              <w:t>7.3.1</w:t>
            </w:r>
            <w:r>
              <w:tab/>
            </w:r>
            <w:r>
              <w:t>Description of feature</w:t>
            </w:r>
            <w:bookmarkEnd w:id="7"/>
          </w:p>
          <w:p>
            <w:pPr>
              <w:overflowPunct w:val="0"/>
              <w:autoSpaceDE w:val="0"/>
              <w:autoSpaceDN w:val="0"/>
              <w:adjustRightInd w:val="0"/>
              <w:textAlignment w:val="baseline"/>
              <w:rPr>
                <w:lang w:val="en-US"/>
              </w:rPr>
            </w:pPr>
            <w:r>
              <w:rPr>
                <w:lang w:val="en-US"/>
              </w:rPr>
              <w:t>In the study, the main UE peak rate reduction options considered for FR1 are as follows:</w:t>
            </w:r>
          </w:p>
          <w:p>
            <w:pPr>
              <w:pStyle w:val="26"/>
              <w:overflowPunct w:val="0"/>
              <w:autoSpaceDE w:val="0"/>
              <w:autoSpaceDN w:val="0"/>
              <w:adjustRightInd w:val="0"/>
              <w:textAlignment w:val="baseline"/>
              <w:rPr>
                <w:rFonts w:hint="default" w:eastAsia="宋体"/>
                <w:lang w:val="en-US" w:eastAsia="zh-CN"/>
              </w:rPr>
            </w:pPr>
            <w:r>
              <w:rPr>
                <w:rFonts w:hint="eastAsia"/>
                <w:lang w:val="en-US" w:eastAsia="zh-CN"/>
              </w:rPr>
              <w:t>[....]</w:t>
            </w:r>
          </w:p>
          <w:p>
            <w:pPr>
              <w:pStyle w:val="26"/>
              <w:overflowPunct w:val="0"/>
              <w:autoSpaceDE w:val="0"/>
              <w:autoSpaceDN w:val="0"/>
              <w:adjustRightInd w:val="0"/>
              <w:textAlignment w:val="baseline"/>
            </w:pPr>
            <w:r>
              <w:t>-</w:t>
            </w:r>
            <w:r>
              <w:tab/>
            </w:r>
            <w:r>
              <w:t>Option PR3: Restriction of maximum number of PRBs for PDSCH and PUSCH.</w:t>
            </w:r>
          </w:p>
          <w:p>
            <w:pPr>
              <w:pStyle w:val="28"/>
              <w:overflowPunct w:val="0"/>
              <w:autoSpaceDE w:val="0"/>
              <w:autoSpaceDN w:val="0"/>
              <w:adjustRightInd w:val="0"/>
              <w:textAlignment w:val="baseline"/>
            </w:pPr>
            <w:r>
              <w:t>-</w:t>
            </w:r>
            <w:r>
              <w:tab/>
            </w:r>
            <w:r>
              <w:t>For 15 kHz SCS, the maximum number of RBs is 25.</w:t>
            </w:r>
          </w:p>
          <w:p>
            <w:pPr>
              <w:pStyle w:val="28"/>
              <w:overflowPunct w:val="0"/>
              <w:autoSpaceDE w:val="0"/>
              <w:autoSpaceDN w:val="0"/>
              <w:adjustRightInd w:val="0"/>
              <w:textAlignment w:val="baseline"/>
            </w:pPr>
            <w:r>
              <w:t>-</w:t>
            </w:r>
            <w:r>
              <w:tab/>
            </w:r>
            <w:r>
              <w:t>For 30 kHz SCS, the maximum number of RBs is 11.</w:t>
            </w:r>
          </w:p>
          <w:p>
            <w:pPr>
              <w:pStyle w:val="28"/>
              <w:overflowPunct w:val="0"/>
              <w:autoSpaceDE w:val="0"/>
              <w:autoSpaceDN w:val="0"/>
              <w:adjustRightInd w:val="0"/>
              <w:textAlignment w:val="baseline"/>
            </w:pPr>
            <w:r>
              <w:t>-</w:t>
            </w:r>
            <w:r>
              <w:tab/>
            </w:r>
            <w:r>
              <w:t>The restricted number of PRBs in Option PR3 is</w:t>
            </w:r>
            <w:r>
              <w:rPr>
                <w:highlight w:val="none"/>
              </w:rPr>
              <w:t xml:space="preserve"> a hardcoded limit.</w:t>
            </w:r>
          </w:p>
          <w:p>
            <w:pPr>
              <w:overflowPunct w:val="0"/>
              <w:autoSpaceDE w:val="0"/>
              <w:autoSpaceDN w:val="0"/>
              <w:adjustRightInd w:val="0"/>
              <w:textAlignment w:val="baseline"/>
              <w:rPr>
                <w:lang w:val="en-US"/>
              </w:rPr>
            </w:pPr>
            <w:r>
              <w:rPr>
                <w:lang w:val="en-US"/>
              </w:rPr>
              <w:t>For the above peak rate reduction options, the following aspects are considered:</w:t>
            </w:r>
          </w:p>
          <w:p>
            <w:pPr>
              <w:pStyle w:val="26"/>
              <w:overflowPunct w:val="0"/>
              <w:autoSpaceDE w:val="0"/>
              <w:autoSpaceDN w:val="0"/>
              <w:adjustRightInd w:val="0"/>
              <w:textAlignment w:val="baseline"/>
            </w:pPr>
            <w:r>
              <w:t>-</w:t>
            </w:r>
            <w:r>
              <w:tab/>
            </w:r>
            <w:r>
              <w:t>The studied peak rate reduction applies to both UE-specific (unicast) and common (broadcast) channels.</w:t>
            </w:r>
          </w:p>
          <w:p>
            <w:pPr>
              <w:pStyle w:val="26"/>
              <w:overflowPunct w:val="0"/>
              <w:autoSpaceDE w:val="0"/>
              <w:autoSpaceDN w:val="0"/>
              <w:adjustRightInd w:val="0"/>
              <w:textAlignment w:val="baseline"/>
            </w:pPr>
            <w:r>
              <w:t>-</w:t>
            </w:r>
            <w:r>
              <w:tab/>
            </w:r>
            <w:r>
              <w:t>The resource allocation spans a bandwidth of maximum 20 MHz (maximum UE channel bandwidth).</w:t>
            </w:r>
          </w:p>
          <w:p>
            <w:pPr>
              <w:pStyle w:val="26"/>
              <w:overflowPunct w:val="0"/>
              <w:autoSpaceDE w:val="0"/>
              <w:autoSpaceDN w:val="0"/>
              <w:adjustRightInd w:val="0"/>
              <w:textAlignment w:val="baseline"/>
            </w:pPr>
            <w:r>
              <w:t>-</w:t>
            </w:r>
            <w:r>
              <w:tab/>
            </w:r>
            <w:r>
              <w:t>The same option is used for UL and DL.</w:t>
            </w:r>
          </w:p>
          <w:p>
            <w:pPr>
              <w:pStyle w:val="26"/>
              <w:overflowPunct w:val="0"/>
              <w:autoSpaceDE w:val="0"/>
              <w:autoSpaceDN w:val="0"/>
              <w:adjustRightInd w:val="0"/>
              <w:textAlignment w:val="baseline"/>
            </w:pPr>
            <w:r>
              <w:t>-</w:t>
            </w:r>
            <w:r>
              <w:tab/>
            </w:r>
            <w:r>
              <w:t>The same option is used for idle/inactive and connected mode.</w:t>
            </w:r>
          </w:p>
          <w:p>
            <w:pPr>
              <w:pStyle w:val="26"/>
              <w:overflowPunct w:val="0"/>
              <w:autoSpaceDE w:val="0"/>
              <w:autoSpaceDN w:val="0"/>
              <w:adjustRightInd w:val="0"/>
              <w:textAlignment w:val="baseline"/>
              <w:rPr>
                <w:rFonts w:hint="default"/>
                <w:vertAlign w:val="baseline"/>
                <w:lang w:val="en-GB" w:eastAsia="ja-JP"/>
              </w:rPr>
            </w:pPr>
            <w:r>
              <w:t>-</w:t>
            </w:r>
            <w:r>
              <w:tab/>
            </w:r>
            <w:r>
              <w:t>Note: As part of study of above options, it is not precluded to indicate that an observation is relevant for UL only or DL only.</w:t>
            </w:r>
          </w:p>
        </w:tc>
      </w:tr>
    </w:tbl>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More specifically, according to TR38.865</w:t>
      </w:r>
      <w:r>
        <w:rPr>
          <w:rFonts w:hint="eastAsia" w:cs="Times New Roman"/>
          <w:sz w:val="21"/>
          <w:szCs w:val="22"/>
          <w:lang w:val="en-US" w:eastAsia="zh-CN"/>
        </w:rPr>
        <w:t>[2]</w:t>
      </w:r>
      <w:r>
        <w:rPr>
          <w:rFonts w:hint="eastAsia" w:ascii="Times New Roman" w:hAnsi="Times New Roman" w:cs="Times New Roman"/>
          <w:sz w:val="21"/>
          <w:szCs w:val="22"/>
          <w:lang w:val="en-US" w:eastAsia="zh-CN"/>
        </w:rPr>
        <w:t xml:space="preserve">, there are two similar UE complexity reduction features, one is BW3 and the other is PR3. According to sections 7.2.1 in </w:t>
      </w:r>
      <w:r>
        <w:rPr>
          <w:rFonts w:hint="eastAsia" w:cs="Times New Roman"/>
          <w:sz w:val="21"/>
          <w:szCs w:val="22"/>
          <w:lang w:val="en-US" w:eastAsia="zh-CN"/>
        </w:rPr>
        <w:t>TR</w:t>
      </w:r>
      <w:r>
        <w:rPr>
          <w:rFonts w:hint="eastAsia" w:ascii="Times New Roman" w:hAnsi="Times New Roman" w:cs="Times New Roman"/>
          <w:sz w:val="21"/>
          <w:szCs w:val="22"/>
          <w:lang w:val="en-US" w:eastAsia="zh-CN"/>
        </w:rPr>
        <w:t>38.865, it can be known that the frequency domain resource allocation for BW3 spans a 5MHz bandwidth, and the PRBs in BW3 are consecutive RBs.</w:t>
      </w:r>
      <w:r>
        <w:rPr>
          <w:rFonts w:hint="eastAsia" w:cs="Times New Roman"/>
          <w:sz w:val="21"/>
          <w:szCs w:val="22"/>
          <w:lang w:val="en-US" w:eastAsia="zh-CN"/>
        </w:rPr>
        <w:t xml:space="preserve"> Similarly, a</w:t>
      </w:r>
      <w:r>
        <w:rPr>
          <w:rFonts w:hint="eastAsia" w:ascii="Times New Roman" w:hAnsi="Times New Roman" w:cs="Times New Roman"/>
          <w:sz w:val="21"/>
          <w:szCs w:val="22"/>
          <w:lang w:val="en-US" w:eastAsia="zh-CN"/>
        </w:rPr>
        <w:t xml:space="preserve">ccording to sections 7.3.1 in </w:t>
      </w:r>
      <w:r>
        <w:rPr>
          <w:rFonts w:hint="eastAsia" w:cs="Times New Roman"/>
          <w:sz w:val="21"/>
          <w:szCs w:val="22"/>
          <w:lang w:val="en-US" w:eastAsia="zh-CN"/>
        </w:rPr>
        <w:t>TR</w:t>
      </w:r>
      <w:r>
        <w:rPr>
          <w:rFonts w:hint="eastAsia" w:ascii="Times New Roman" w:hAnsi="Times New Roman" w:cs="Times New Roman"/>
          <w:sz w:val="21"/>
          <w:szCs w:val="22"/>
          <w:lang w:val="en-US" w:eastAsia="zh-CN"/>
        </w:rPr>
        <w:t xml:space="preserve">38.865, it can be known that the frequency domain resource allocation for PR3 spans a bandwidth of maximum 20 MHz, and the restricted number of PRBs in PR3 is a hardcoded limit. In other words, the main difference between BW3 and PR3 is whether their corresponding frequency domain resource allocation spans </w:t>
      </w:r>
      <w:r>
        <w:rPr>
          <w:rFonts w:hint="eastAsia" w:cs="Times New Roman"/>
          <w:sz w:val="21"/>
          <w:szCs w:val="22"/>
          <w:lang w:val="en-US" w:eastAsia="zh-CN"/>
        </w:rPr>
        <w:t>5</w:t>
      </w:r>
      <w:r>
        <w:rPr>
          <w:rFonts w:hint="eastAsia" w:ascii="Times New Roman" w:hAnsi="Times New Roman" w:cs="Times New Roman"/>
          <w:sz w:val="21"/>
          <w:szCs w:val="22"/>
          <w:lang w:val="en-US" w:eastAsia="zh-CN"/>
        </w:rPr>
        <w:t xml:space="preserve">MHz bandwidth or </w:t>
      </w:r>
      <w:r>
        <w:rPr>
          <w:rFonts w:hint="eastAsia" w:cs="Times New Roman"/>
          <w:sz w:val="21"/>
          <w:szCs w:val="22"/>
          <w:lang w:val="en-US" w:eastAsia="zh-CN"/>
        </w:rPr>
        <w:t>20</w:t>
      </w:r>
      <w:r>
        <w:rPr>
          <w:rFonts w:hint="eastAsia" w:ascii="Times New Roman" w:hAnsi="Times New Roman" w:cs="Times New Roman"/>
          <w:sz w:val="21"/>
          <w:szCs w:val="22"/>
          <w:lang w:val="en-US" w:eastAsia="zh-CN"/>
        </w:rPr>
        <w:t>MHz bandwidth</w:t>
      </w:r>
      <w:r>
        <w:rPr>
          <w:rFonts w:hint="eastAsia" w:cs="Times New Roman"/>
          <w:sz w:val="21"/>
          <w:szCs w:val="22"/>
          <w:lang w:val="en-US" w:eastAsia="zh-CN"/>
        </w:rPr>
        <w:t>,</w:t>
      </w:r>
      <w:r>
        <w:rPr>
          <w:rFonts w:hint="eastAsia" w:ascii="Times New Roman" w:hAnsi="Times New Roman" w:cs="Times New Roman"/>
          <w:sz w:val="21"/>
          <w:szCs w:val="22"/>
          <w:lang w:val="en-US" w:eastAsia="zh-CN"/>
        </w:rPr>
        <w:t xml:space="preserve"> and whether their corresponding frequency domain resource allocation is continuous allocation or distributed allocation. So the 5MHz bandwidth involved in the bandwidth reduction feature of the WI refers to the continuous PRB allocation in BW3.</w:t>
      </w:r>
    </w:p>
    <w:p>
      <w:pPr>
        <w:jc w:val="both"/>
        <w:rPr>
          <w:rFonts w:hint="default" w:ascii="Times New Roman" w:hAnsi="Times New Roman" w:cs="Times New Roman"/>
          <w:sz w:val="21"/>
          <w:szCs w:val="22"/>
          <w:lang w:val="en-US" w:eastAsia="zh-CN"/>
        </w:rPr>
      </w:pPr>
      <w:r>
        <w:rPr>
          <w:rFonts w:hint="eastAsia" w:cs="Times New Roman"/>
          <w:sz w:val="21"/>
          <w:szCs w:val="22"/>
          <w:lang w:val="en-US" w:eastAsia="zh-CN"/>
        </w:rPr>
        <w:t xml:space="preserve">For uplink </w:t>
      </w:r>
      <w:r>
        <w:rPr>
          <w:rFonts w:hint="default" w:ascii="Times New Roman" w:hAnsi="Times New Roman" w:cs="Times New Roman"/>
          <w:sz w:val="21"/>
          <w:szCs w:val="22"/>
          <w:lang w:val="en-US" w:eastAsia="zh-CN"/>
        </w:rPr>
        <w:t xml:space="preserve">DFT-S-OFDM waveform, according to </w:t>
      </w:r>
      <w:r>
        <w:rPr>
          <w:rFonts w:hint="eastAsia" w:cs="Times New Roman"/>
          <w:sz w:val="21"/>
          <w:szCs w:val="22"/>
          <w:lang w:val="en-US" w:eastAsia="zh-CN"/>
        </w:rPr>
        <w:t>s</w:t>
      </w:r>
      <w:r>
        <w:rPr>
          <w:rFonts w:hint="default" w:ascii="Times New Roman" w:hAnsi="Times New Roman" w:cs="Times New Roman"/>
          <w:sz w:val="21"/>
          <w:szCs w:val="22"/>
          <w:lang w:val="en-US" w:eastAsia="zh-CN"/>
        </w:rPr>
        <w:t xml:space="preserve">ection 6.1.2.2 of 38.214, it can be known that only continuous resource allocation type 1 can be used, so it is more suitable to use continuous PRB allocation similar to BW3 than to use distributed PRB allocation. Therefore, the bandwidth reduction </w:t>
      </w:r>
      <w:r>
        <w:rPr>
          <w:rFonts w:hint="eastAsia" w:cs="Times New Roman"/>
          <w:sz w:val="21"/>
          <w:szCs w:val="22"/>
          <w:lang w:val="en-US" w:eastAsia="zh-CN"/>
        </w:rPr>
        <w:t>feature</w:t>
      </w:r>
      <w:r>
        <w:rPr>
          <w:rFonts w:hint="default" w:ascii="Times New Roman" w:hAnsi="Times New Roman" w:cs="Times New Roman"/>
          <w:sz w:val="21"/>
          <w:szCs w:val="22"/>
          <w:lang w:val="en-US" w:eastAsia="zh-CN"/>
        </w:rPr>
        <w:t xml:space="preserve"> in WI is more inclined to the same continuous PRB resource allocation as BW3.</w:t>
      </w:r>
    </w:p>
    <w:p>
      <w:p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What</w:t>
      </w:r>
      <w:r>
        <w:rPr>
          <w:rFonts w:hint="default" w:ascii="Times New Roman" w:hAnsi="Times New Roman" w:cs="Times New Roman"/>
          <w:sz w:val="21"/>
          <w:szCs w:val="22"/>
          <w:lang w:val="en-US" w:eastAsia="zh-CN"/>
        </w:rPr>
        <w:t>’</w:t>
      </w:r>
      <w:r>
        <w:rPr>
          <w:rFonts w:hint="eastAsia" w:ascii="Times New Roman" w:hAnsi="Times New Roman" w:cs="Times New Roman"/>
          <w:sz w:val="21"/>
          <w:szCs w:val="22"/>
          <w:lang w:val="en-US" w:eastAsia="zh-CN"/>
        </w:rPr>
        <w:t xml:space="preserve">s more, if the definition of bandwidth reduction in WI is the same as BW3, the </w:t>
      </w:r>
      <w:r>
        <w:rPr>
          <w:rFonts w:hint="eastAsia" w:cs="Times New Roman"/>
          <w:sz w:val="21"/>
          <w:szCs w:val="22"/>
          <w:lang w:val="en-US" w:eastAsia="zh-CN"/>
        </w:rPr>
        <w:t>UE</w:t>
      </w:r>
      <w:r>
        <w:rPr>
          <w:rFonts w:hint="eastAsia" w:ascii="Times New Roman" w:hAnsi="Times New Roman" w:cs="Times New Roman"/>
          <w:sz w:val="21"/>
          <w:szCs w:val="22"/>
          <w:lang w:val="en-US" w:eastAsia="zh-CN"/>
        </w:rPr>
        <w:t xml:space="preserve"> only needs to buffer the 5MHz PDSCH after the control channel decoding is completed</w:t>
      </w:r>
      <w:r>
        <w:rPr>
          <w:rFonts w:hint="eastAsia" w:cs="Times New Roman"/>
          <w:sz w:val="21"/>
          <w:szCs w:val="22"/>
          <w:lang w:val="en-US" w:eastAsia="zh-CN"/>
        </w:rPr>
        <w:t xml:space="preserve">. </w:t>
      </w:r>
      <w:r>
        <w:rPr>
          <w:rFonts w:hint="eastAsia" w:ascii="Times New Roman" w:hAnsi="Times New Roman" w:cs="Times New Roman"/>
          <w:sz w:val="21"/>
          <w:szCs w:val="22"/>
          <w:lang w:val="en-US" w:eastAsia="zh-CN"/>
        </w:rPr>
        <w:t xml:space="preserve">Compared to always buffering 20MHz bandwidth, </w:t>
      </w:r>
      <w:r>
        <w:rPr>
          <w:rFonts w:hint="eastAsia" w:cs="Times New Roman"/>
          <w:sz w:val="21"/>
          <w:szCs w:val="22"/>
          <w:lang w:val="en-US" w:eastAsia="zh-CN"/>
        </w:rPr>
        <w:t>b</w:t>
      </w:r>
      <w:r>
        <w:rPr>
          <w:rFonts w:hint="eastAsia" w:ascii="Times New Roman" w:hAnsi="Times New Roman" w:cs="Times New Roman"/>
          <w:sz w:val="21"/>
          <w:szCs w:val="22"/>
          <w:lang w:val="en-US" w:eastAsia="zh-CN"/>
        </w:rPr>
        <w:t>uffering only 5MHz bandwidth after the control channel decoding is complet</w:t>
      </w:r>
      <w:r>
        <w:rPr>
          <w:rFonts w:hint="eastAsia" w:cs="Times New Roman"/>
          <w:sz w:val="21"/>
          <w:szCs w:val="22"/>
          <w:lang w:val="en-US" w:eastAsia="zh-CN"/>
        </w:rPr>
        <w:t>e</w:t>
      </w:r>
      <w:bookmarkStart w:id="9" w:name="_GoBack"/>
      <w:bookmarkEnd w:id="9"/>
      <w:r>
        <w:rPr>
          <w:rFonts w:hint="eastAsia" w:cs="Times New Roman"/>
          <w:sz w:val="21"/>
          <w:szCs w:val="22"/>
          <w:lang w:val="en-US" w:eastAsia="zh-CN"/>
        </w:rPr>
        <w:t xml:space="preserve"> </w:t>
      </w:r>
      <w:r>
        <w:rPr>
          <w:rFonts w:hint="eastAsia" w:ascii="Times New Roman" w:hAnsi="Times New Roman" w:cs="Times New Roman"/>
          <w:sz w:val="21"/>
          <w:szCs w:val="22"/>
          <w:lang w:val="en-US" w:eastAsia="zh-CN"/>
        </w:rPr>
        <w:t>reduces the cost of post-FFT data buffering component by an additional ~0.34%</w:t>
      </w:r>
      <w:r>
        <w:rPr>
          <w:rFonts w:hint="eastAsia" w:cs="Times New Roman"/>
          <w:sz w:val="21"/>
          <w:szCs w:val="22"/>
          <w:lang w:val="en-US" w:eastAsia="zh-CN"/>
        </w:rPr>
        <w:t xml:space="preserve">. </w:t>
      </w:r>
      <w:r>
        <w:rPr>
          <w:rFonts w:hint="eastAsia" w:ascii="Times New Roman" w:hAnsi="Times New Roman" w:cs="Times New Roman"/>
          <w:sz w:val="21"/>
          <w:szCs w:val="22"/>
          <w:lang w:val="en-US" w:eastAsia="zh-CN"/>
        </w:rPr>
        <w:t>And the degradation of SIB1 link performance caused by only buffer</w:t>
      </w:r>
      <w:r>
        <w:rPr>
          <w:rFonts w:hint="eastAsia" w:cs="Times New Roman"/>
          <w:sz w:val="21"/>
          <w:szCs w:val="22"/>
          <w:lang w:val="en-US" w:eastAsia="zh-CN"/>
        </w:rPr>
        <w:t>ing</w:t>
      </w:r>
      <w:r>
        <w:rPr>
          <w:rFonts w:hint="eastAsia" w:ascii="Times New Roman" w:hAnsi="Times New Roman" w:cs="Times New Roman"/>
          <w:sz w:val="21"/>
          <w:szCs w:val="22"/>
          <w:lang w:val="en-US" w:eastAsia="zh-CN"/>
        </w:rPr>
        <w:t xml:space="preserve"> 5MHz data bandwidth can be compensated by soft combining or other potential enhancement schemes.</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It is suggested that the 5MHz bandwidth in the WI refers to continuous 5MHz PRB resources, and when the PDCCH is successfully decoded, only 5MHz PDSCH/PUSCH data needs to be buffered.</w:t>
      </w:r>
    </w:p>
    <w:p>
      <w:pPr>
        <w:jc w:val="both"/>
        <w:rPr>
          <w:rFonts w:hint="eastAsia"/>
          <w:b/>
          <w:sz w:val="21"/>
          <w:szCs w:val="22"/>
          <w:lang w:val="en-US" w:eastAsia="zh-CN"/>
        </w:rPr>
      </w:pPr>
    </w:p>
    <w:p>
      <w:pPr>
        <w:pStyle w:val="4"/>
        <w:pBdr>
          <w:top w:val="none" w:color="auto" w:sz="0" w:space="0"/>
        </w:pBdr>
        <w:overflowPunct w:val="0"/>
        <w:autoSpaceDE w:val="0"/>
        <w:autoSpaceDN w:val="0"/>
        <w:adjustRightInd w:val="0"/>
        <w:spacing w:before="120" w:beforeLines="-2147483648" w:beforeAutospacing="0" w:after="180" w:afterLines="-2147483648" w:afterAutospacing="0" w:line="240" w:lineRule="auto"/>
        <w:ind w:left="0" w:firstLine="0"/>
        <w:textAlignment w:val="baseline"/>
        <w:rPr>
          <w:rFonts w:hint="default"/>
          <w:b w:val="0"/>
          <w:bCs w:val="0"/>
          <w:lang w:val="en-GB" w:eastAsia="ja-JP"/>
        </w:rPr>
      </w:pPr>
      <w:r>
        <w:rPr>
          <w:rFonts w:hint="eastAsia"/>
          <w:b w:val="0"/>
          <w:bCs w:val="0"/>
          <w:lang w:val="en-GB" w:eastAsia="zh-CN"/>
        </w:rPr>
        <w:tab/>
      </w:r>
      <w:r>
        <w:rPr>
          <w:rFonts w:hint="default"/>
          <w:b w:val="0"/>
          <w:bCs w:val="0"/>
          <w:lang w:val="en-GB" w:eastAsia="ja-JP"/>
        </w:rPr>
        <w:t>Analysis of performance impacts</w:t>
      </w: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According to 38.214 section 5.1.2.2 and section 6.1.2.2, the current </w:t>
      </w:r>
      <w:r>
        <w:rPr>
          <w:rFonts w:hint="eastAsia" w:ascii="Times New Roman" w:hAnsi="Times New Roman" w:cs="Times New Roman"/>
          <w:sz w:val="21"/>
          <w:szCs w:val="22"/>
          <w:lang w:val="en-GB" w:eastAsia="zh-CN"/>
        </w:rPr>
        <w:t>frequency domain resource allocation</w:t>
      </w:r>
      <w:r>
        <w:rPr>
          <w:rFonts w:hint="eastAsia" w:ascii="Times New Roman" w:hAnsi="Times New Roman" w:cs="Times New Roman"/>
          <w:sz w:val="21"/>
          <w:szCs w:val="22"/>
          <w:lang w:val="en-US" w:eastAsia="zh-CN"/>
        </w:rPr>
        <w:t xml:space="preserve"> is based on the </w:t>
      </w:r>
      <w:r>
        <w:rPr>
          <w:rFonts w:hint="eastAsia" w:ascii="Times New Roman" w:hAnsi="Times New Roman" w:cs="Times New Roman"/>
          <w:sz w:val="21"/>
          <w:szCs w:val="22"/>
          <w:lang w:val="en-GB" w:eastAsia="zh-CN"/>
        </w:rPr>
        <w:t>size of active bandwidth part</w:t>
      </w:r>
      <w:r>
        <w:rPr>
          <w:rFonts w:hint="eastAsia" w:ascii="Times New Roman" w:hAnsi="Times New Roman" w:cs="Times New Roman"/>
          <w:sz w:val="21"/>
          <w:szCs w:val="22"/>
          <w:lang w:val="en-US" w:eastAsia="zh-CN"/>
        </w:rPr>
        <w:t xml:space="preserve"> , the size of CORESET 0, or the size of initial DL bandwidth part. Therefore, the size of the Frequency Domain Resource Assignment (FDRA) field in DCI is based on one of the above three BWPs. Further, if the size of one of the above three BWPs exceeds 5MHz, the bits in the frequency domain resource assignment field in the DCI will be wasted because the maximum BB bandwidth of the R18 Redcap UE does not exceed 5MHz. Especially for resource allocation type 0, if the RBG size is determined according to one of the above three types of BWPs, the problem of excessively large RBG granularity will also be caused. Therefore, it is necessary to consider the effective utilization of frequency domain resources and FDRA bits under 5MHz baseband bandwidth.</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It is recommended to consider the effective utilization of frequency domain resources and FDRA bits under 5MHz BB bandwidth.</w:t>
      </w:r>
    </w:p>
    <w:p>
      <w:pPr>
        <w:spacing w:beforeLines="0" w:afterLines="0"/>
        <w:jc w:val="left"/>
        <w:rPr>
          <w:rFonts w:hint="default"/>
          <w:b/>
          <w:sz w:val="21"/>
          <w:szCs w:val="22"/>
          <w:lang w:val="en-US" w:eastAsia="zh-CN"/>
        </w:rPr>
      </w:pP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ja-JP"/>
        </w:rPr>
      </w:pPr>
      <w:r>
        <w:rPr>
          <w:rFonts w:hint="eastAsia"/>
          <w:b w:val="0"/>
          <w:bCs w:val="0"/>
          <w:lang w:val="en-US" w:eastAsia="ja-JP"/>
        </w:rPr>
        <w:t>UE peak data rate reduction</w:t>
      </w:r>
    </w:p>
    <w:p>
      <w:pPr>
        <w:rPr>
          <w:rFonts w:hint="default"/>
          <w:lang w:val="en-US" w:eastAsia="zh-CN"/>
        </w:rPr>
      </w:pPr>
      <w:r>
        <w:rPr>
          <w:rFonts w:hint="eastAsia"/>
          <w:lang w:val="en-US" w:eastAsia="zh-CN"/>
        </w:rPr>
        <w:t>According to the WI in RAN#97e meeting, there are two techniques to further reduce the UE complexity, one is to reduce the BB bandwidth, and the other is to reduce the UE peak rate. If UE peak rate reduction and UE BB bandwidth reduction are two independent parallel schemes, the requirement to define at most one R18 Recap UE type required in WI cannot be met. Therefore, UE peak rate reduction for UE is limited only with UE BB bandwidth reduction.</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It is recommended that UE peak data rate reduction for UE should be limited with UE BB bandwidth reduction.</w:t>
      </w:r>
    </w:p>
    <w:p>
      <w:pPr>
        <w:rPr>
          <w:rFonts w:hint="eastAsia"/>
          <w:lang w:val="en-US" w:eastAsia="zh-CN"/>
        </w:rPr>
      </w:pPr>
      <w:r>
        <w:rPr>
          <w:rFonts w:hint="eastAsia"/>
          <w:lang w:val="en-US" w:eastAsia="zh-CN"/>
        </w:rPr>
        <w:t>According to Table 7.5.2-1 in TR 38.875[2], it can be seen that currently only the independent simulation of BW3 and PR1 has been carried out to reduce the UE complexity, and the simulation of the combination of BW3 and PR1 has not been evaluated. Therefore, it is recommended to increase the UE complexity reduction evaluation for the combination of BW3 and PR1.</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It is recommended to increase the UE complexity reduction evaluation for the combination of BW3 and PR1.</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ja-JP"/>
        </w:rPr>
      </w:pPr>
      <w:r>
        <w:rPr>
          <w:rFonts w:hint="eastAsia"/>
          <w:b w:val="0"/>
          <w:bCs w:val="0"/>
          <w:lang w:val="en-US" w:eastAsia="zh-CN"/>
        </w:rPr>
        <w:t>E</w:t>
      </w:r>
      <w:r>
        <w:rPr>
          <w:rFonts w:hint="eastAsia"/>
          <w:b w:val="0"/>
          <w:bCs w:val="0"/>
          <w:lang w:val="en-US" w:eastAsia="ja-JP"/>
        </w:rPr>
        <w:t>arly indication</w:t>
      </w:r>
    </w:p>
    <w:p>
      <w:pPr>
        <w:rPr>
          <w:rFonts w:hint="eastAsia"/>
          <w:lang w:val="en-US" w:eastAsia="zh-CN"/>
        </w:rPr>
      </w:pPr>
      <w:r>
        <w:rPr>
          <w:rFonts w:hint="eastAsia"/>
          <w:lang w:val="en-US" w:eastAsia="zh-CN"/>
        </w:rPr>
        <w:t>Early Indication was introduced in R17 and is mainly used for network to identify Redcap UE type. If there is no early indication of RedCap UEs, legacy UEs and RedCap UEs will be considered the same by the network, which may lead to conservative treatment of all UEs. Similarly, since the maximum BB bandwidth supported by PDSCH/PUSCH of R17 Redcap UE and R18 Redcap UE is different, if the earlier indication of R17 continues to be reused, the network will schedule R17 Redcap UE and R18 Redcap UE according to the maximum BB bandwidth supported by R18 Redcap UE , which is inappropriate and unfair for R17 Redcap UE.</w:t>
      </w:r>
    </w:p>
    <w:p>
      <w:pPr>
        <w:rPr>
          <w:rFonts w:hint="default"/>
          <w:lang w:val="en-US" w:eastAsia="zh-CN"/>
        </w:rPr>
      </w:pPr>
      <w:bookmarkStart w:id="8" w:name="OLE_LINK1"/>
      <w:r>
        <w:rPr>
          <w:rFonts w:hint="default"/>
          <w:lang w:val="en-US" w:eastAsia="zh-CN"/>
        </w:rPr>
        <w:t>Further, since the early indication of the existing R17 Redcap is through Msg1, if the R17 Redcap UE, R18 Redcap UE and legacy UE are all identified by the preamble, the preamble sequence will be fragmented, and a new early indication technology can be discussed.</w:t>
      </w:r>
    </w:p>
    <w:bookmarkEnd w:id="8"/>
    <w:p>
      <w:pPr>
        <w:jc w:val="both"/>
        <w:rPr>
          <w:rFonts w:hint="eastAsia" w:ascii="Times New Roman" w:hAnsi="Times New Roman" w:eastAsia="宋体" w:cs="Times New Roman"/>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5  It is recommended to support </w:t>
      </w:r>
      <w:r>
        <w:rPr>
          <w:rFonts w:hint="eastAsia"/>
          <w:b/>
          <w:sz w:val="21"/>
          <w:szCs w:val="22"/>
          <w:lang w:val="en-US" w:eastAsia="ja-JP"/>
        </w:rPr>
        <w:t>a separate early indication</w:t>
      </w:r>
      <w:r>
        <w:rPr>
          <w:rFonts w:hint="eastAsia"/>
          <w:b/>
          <w:sz w:val="21"/>
          <w:szCs w:val="22"/>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Conclusions</w:t>
      </w:r>
    </w:p>
    <w:p>
      <w:pPr>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 proposals are made.</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It is suggested that the 5MHz bandwidth in the WI refers to continuous 5MHz PRB resources, and when the PDCCH is successfully decoded, only 5MHz PDSCH/PUSCH data needs to be buffered.</w:t>
      </w:r>
    </w:p>
    <w:p>
      <w:pPr>
        <w:spacing w:beforeLines="0" w:afterLines="0"/>
        <w:jc w:val="left"/>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It is recommended to consider the effective utilization of frequency domain resources and FDRA bits under 5MHz BB bandwidth.</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It is recommended that UE peak data rate reduction for UE should be limited with UE BB bandwidth reduction.</w:t>
      </w:r>
    </w:p>
    <w:p>
      <w:pPr>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It is recommended to increase the UE complexity reduction evaluation for the combination of BW3 and PR1.</w:t>
      </w:r>
    </w:p>
    <w:p>
      <w:pPr>
        <w:jc w:val="both"/>
        <w:rPr>
          <w:rFonts w:hint="eastAsia" w:ascii="Times New Roman" w:hAnsi="Times New Roman" w:eastAsia="宋体" w:cs="Times New Roman"/>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5  It is recommended to support </w:t>
      </w:r>
      <w:r>
        <w:rPr>
          <w:rFonts w:hint="eastAsia"/>
          <w:b/>
          <w:sz w:val="21"/>
          <w:szCs w:val="22"/>
          <w:lang w:val="en-US" w:eastAsia="ja-JP"/>
        </w:rPr>
        <w:t>a separate early indication</w:t>
      </w:r>
      <w:r>
        <w:rPr>
          <w:rFonts w:hint="eastAsia"/>
          <w:b/>
          <w:sz w:val="21"/>
          <w:szCs w:val="22"/>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References</w:t>
      </w:r>
    </w:p>
    <w:p>
      <w:pPr>
        <w:pStyle w:val="20"/>
        <w:numPr>
          <w:ilvl w:val="0"/>
          <w:numId w:val="5"/>
        </w:numPr>
        <w:ind w:leftChars="0"/>
        <w:rPr>
          <w:rFonts w:ascii="Times New Roman" w:hAnsi="Times New Roman"/>
          <w:lang w:val="zh-CN" w:eastAsia="zh-CN"/>
        </w:rPr>
      </w:pPr>
      <w:r>
        <w:rPr>
          <w:rFonts w:hint="eastAsia" w:ascii="Times New Roman" w:hAnsi="Times New Roman" w:eastAsia="宋体"/>
          <w:sz w:val="20"/>
          <w:lang w:val="en-US" w:eastAsia="zh-CN"/>
        </w:rPr>
        <w:t xml:space="preserve">RP-22675, </w:t>
      </w:r>
      <w:r>
        <w:rPr>
          <w:rFonts w:hint="default" w:ascii="Times New Roman" w:hAnsi="Times New Roman" w:eastAsia="宋体"/>
          <w:sz w:val="20"/>
          <w:lang w:val="en-US" w:eastAsia="zh-CN"/>
        </w:rPr>
        <w:t>”</w:t>
      </w:r>
      <w:r>
        <w:rPr>
          <w:rFonts w:ascii="Times New Roman" w:hAnsi="Times New Roman"/>
          <w:sz w:val="20"/>
          <w:lang w:val="en-US"/>
        </w:rPr>
        <w:t>New WID on enhanced support of reduced capability NR devices</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xml:space="preserve"> , RAN#97</w:t>
      </w:r>
    </w:p>
    <w:p>
      <w:pPr>
        <w:pStyle w:val="20"/>
        <w:numPr>
          <w:ilvl w:val="0"/>
          <w:numId w:val="5"/>
        </w:numPr>
        <w:ind w:leftChars="0"/>
        <w:rPr>
          <w:rFonts w:ascii="Times New Roman" w:hAnsi="Times New Roman"/>
          <w:lang w:val="zh-CN" w:eastAsia="zh-CN"/>
        </w:rPr>
      </w:pPr>
      <w:r>
        <w:rPr>
          <w:rFonts w:hint="eastAsia" w:ascii="Times New Roman" w:hAnsi="Times New Roman"/>
          <w:lang w:val="en-US" w:eastAsia="zh-CN"/>
        </w:rPr>
        <w:t>TR 38.865 V18.0.0, 2022-09</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C43F2"/>
    <w:rsid w:val="02366D2D"/>
    <w:rsid w:val="02821545"/>
    <w:rsid w:val="02BA26ED"/>
    <w:rsid w:val="03292219"/>
    <w:rsid w:val="03333EBB"/>
    <w:rsid w:val="039242F7"/>
    <w:rsid w:val="03C91DEF"/>
    <w:rsid w:val="043D1681"/>
    <w:rsid w:val="046105A7"/>
    <w:rsid w:val="050B2FD3"/>
    <w:rsid w:val="05BE0571"/>
    <w:rsid w:val="062D641E"/>
    <w:rsid w:val="06467E10"/>
    <w:rsid w:val="06631006"/>
    <w:rsid w:val="068B669D"/>
    <w:rsid w:val="06DB01C7"/>
    <w:rsid w:val="06FD7C23"/>
    <w:rsid w:val="07412138"/>
    <w:rsid w:val="075014AD"/>
    <w:rsid w:val="079743E7"/>
    <w:rsid w:val="07A03B2F"/>
    <w:rsid w:val="08575FBE"/>
    <w:rsid w:val="09386CEF"/>
    <w:rsid w:val="095E2632"/>
    <w:rsid w:val="09891C4A"/>
    <w:rsid w:val="09C11875"/>
    <w:rsid w:val="0A940E9D"/>
    <w:rsid w:val="0AB5350C"/>
    <w:rsid w:val="0AC8754E"/>
    <w:rsid w:val="0AD04CB6"/>
    <w:rsid w:val="0B4F2D08"/>
    <w:rsid w:val="0B5645CC"/>
    <w:rsid w:val="0B5A0448"/>
    <w:rsid w:val="0B7E082A"/>
    <w:rsid w:val="0C6B3E4C"/>
    <w:rsid w:val="0C7A3E69"/>
    <w:rsid w:val="0D8008CF"/>
    <w:rsid w:val="0D9F3231"/>
    <w:rsid w:val="0DFE15A3"/>
    <w:rsid w:val="0E2C3933"/>
    <w:rsid w:val="0E4D44EF"/>
    <w:rsid w:val="0EF85813"/>
    <w:rsid w:val="0F0B0B79"/>
    <w:rsid w:val="0F524340"/>
    <w:rsid w:val="0FD746B6"/>
    <w:rsid w:val="0FD94151"/>
    <w:rsid w:val="10931CC7"/>
    <w:rsid w:val="10F51AD3"/>
    <w:rsid w:val="123D56D9"/>
    <w:rsid w:val="12960691"/>
    <w:rsid w:val="13F554B1"/>
    <w:rsid w:val="14327D73"/>
    <w:rsid w:val="145C6F22"/>
    <w:rsid w:val="14AC682E"/>
    <w:rsid w:val="14C53B07"/>
    <w:rsid w:val="15682461"/>
    <w:rsid w:val="15AD3A82"/>
    <w:rsid w:val="15CE7E95"/>
    <w:rsid w:val="15E82AFC"/>
    <w:rsid w:val="16501227"/>
    <w:rsid w:val="17326BFF"/>
    <w:rsid w:val="173340E6"/>
    <w:rsid w:val="17846D8A"/>
    <w:rsid w:val="17EF5450"/>
    <w:rsid w:val="183D7BCD"/>
    <w:rsid w:val="183E7952"/>
    <w:rsid w:val="18B21AD6"/>
    <w:rsid w:val="18EA08C6"/>
    <w:rsid w:val="19286D8E"/>
    <w:rsid w:val="19B6063F"/>
    <w:rsid w:val="19F743DF"/>
    <w:rsid w:val="1A682661"/>
    <w:rsid w:val="1A942215"/>
    <w:rsid w:val="1AE945CD"/>
    <w:rsid w:val="1BED197A"/>
    <w:rsid w:val="1C4A27F6"/>
    <w:rsid w:val="1D176197"/>
    <w:rsid w:val="1D3A2CBF"/>
    <w:rsid w:val="1D4E0DE6"/>
    <w:rsid w:val="1D5F3C1E"/>
    <w:rsid w:val="1D786CA0"/>
    <w:rsid w:val="1F0868CC"/>
    <w:rsid w:val="1F1402D1"/>
    <w:rsid w:val="1F713F17"/>
    <w:rsid w:val="1FBF7ED9"/>
    <w:rsid w:val="20273EC1"/>
    <w:rsid w:val="203E1579"/>
    <w:rsid w:val="20486C30"/>
    <w:rsid w:val="20DC4847"/>
    <w:rsid w:val="21486D50"/>
    <w:rsid w:val="21A835A0"/>
    <w:rsid w:val="21C71C6C"/>
    <w:rsid w:val="21F51F69"/>
    <w:rsid w:val="224131C1"/>
    <w:rsid w:val="226804C4"/>
    <w:rsid w:val="22B456FE"/>
    <w:rsid w:val="22EE7297"/>
    <w:rsid w:val="22FD69AE"/>
    <w:rsid w:val="230B5C6A"/>
    <w:rsid w:val="23543698"/>
    <w:rsid w:val="2378316C"/>
    <w:rsid w:val="23AB02F8"/>
    <w:rsid w:val="24222D39"/>
    <w:rsid w:val="24770AA7"/>
    <w:rsid w:val="249C66CB"/>
    <w:rsid w:val="259F0F36"/>
    <w:rsid w:val="25BF7538"/>
    <w:rsid w:val="25E25F7B"/>
    <w:rsid w:val="25FA3B44"/>
    <w:rsid w:val="26014383"/>
    <w:rsid w:val="26025AC5"/>
    <w:rsid w:val="265817DB"/>
    <w:rsid w:val="26685E4E"/>
    <w:rsid w:val="26710598"/>
    <w:rsid w:val="26D50A2C"/>
    <w:rsid w:val="27CE415D"/>
    <w:rsid w:val="283F7913"/>
    <w:rsid w:val="28C65A54"/>
    <w:rsid w:val="29AA010A"/>
    <w:rsid w:val="2AEB718E"/>
    <w:rsid w:val="2B15743C"/>
    <w:rsid w:val="2B20324F"/>
    <w:rsid w:val="2C153FA1"/>
    <w:rsid w:val="2C1A370D"/>
    <w:rsid w:val="2D312F7F"/>
    <w:rsid w:val="2D855F3C"/>
    <w:rsid w:val="303F6316"/>
    <w:rsid w:val="30A72E79"/>
    <w:rsid w:val="30C920B8"/>
    <w:rsid w:val="31182819"/>
    <w:rsid w:val="31696F75"/>
    <w:rsid w:val="32395E90"/>
    <w:rsid w:val="329A7A4B"/>
    <w:rsid w:val="3300373A"/>
    <w:rsid w:val="334B2535"/>
    <w:rsid w:val="33D577B5"/>
    <w:rsid w:val="34712317"/>
    <w:rsid w:val="355F746B"/>
    <w:rsid w:val="35B567A6"/>
    <w:rsid w:val="35B873B1"/>
    <w:rsid w:val="3618394C"/>
    <w:rsid w:val="364C2EB6"/>
    <w:rsid w:val="36665823"/>
    <w:rsid w:val="36852913"/>
    <w:rsid w:val="37467121"/>
    <w:rsid w:val="37A2030E"/>
    <w:rsid w:val="38CB386D"/>
    <w:rsid w:val="38D146E8"/>
    <w:rsid w:val="39003390"/>
    <w:rsid w:val="39456083"/>
    <w:rsid w:val="39ED44B5"/>
    <w:rsid w:val="3B296135"/>
    <w:rsid w:val="3B702D5E"/>
    <w:rsid w:val="3CBF66BA"/>
    <w:rsid w:val="3D045D81"/>
    <w:rsid w:val="3D0955CD"/>
    <w:rsid w:val="3DD3111B"/>
    <w:rsid w:val="3E5F4689"/>
    <w:rsid w:val="3FC12F51"/>
    <w:rsid w:val="409D5390"/>
    <w:rsid w:val="40A53650"/>
    <w:rsid w:val="41600151"/>
    <w:rsid w:val="41603818"/>
    <w:rsid w:val="41B53228"/>
    <w:rsid w:val="42A81EAB"/>
    <w:rsid w:val="430A058D"/>
    <w:rsid w:val="43993D8E"/>
    <w:rsid w:val="43E56B7B"/>
    <w:rsid w:val="449700C1"/>
    <w:rsid w:val="44DF4AD3"/>
    <w:rsid w:val="45806EC3"/>
    <w:rsid w:val="458A5B63"/>
    <w:rsid w:val="46686C9E"/>
    <w:rsid w:val="47341CB9"/>
    <w:rsid w:val="476C4C8D"/>
    <w:rsid w:val="478F75F0"/>
    <w:rsid w:val="47CA5A26"/>
    <w:rsid w:val="488E5A9B"/>
    <w:rsid w:val="48AF1F07"/>
    <w:rsid w:val="48B225B7"/>
    <w:rsid w:val="48B64E60"/>
    <w:rsid w:val="48F12CEE"/>
    <w:rsid w:val="4938000E"/>
    <w:rsid w:val="498558F4"/>
    <w:rsid w:val="4A523E05"/>
    <w:rsid w:val="4A6F7A71"/>
    <w:rsid w:val="4B453C14"/>
    <w:rsid w:val="4BB46FD1"/>
    <w:rsid w:val="4D121D34"/>
    <w:rsid w:val="4D7A3398"/>
    <w:rsid w:val="4E897B66"/>
    <w:rsid w:val="4EE53BFB"/>
    <w:rsid w:val="4EEF51A5"/>
    <w:rsid w:val="4EF33F37"/>
    <w:rsid w:val="4F1254C3"/>
    <w:rsid w:val="4F29663B"/>
    <w:rsid w:val="4F2F631B"/>
    <w:rsid w:val="4F3C0010"/>
    <w:rsid w:val="4F4A0C44"/>
    <w:rsid w:val="4F687927"/>
    <w:rsid w:val="4F706F0D"/>
    <w:rsid w:val="508D0734"/>
    <w:rsid w:val="508F4388"/>
    <w:rsid w:val="50CE6F9F"/>
    <w:rsid w:val="517D50F1"/>
    <w:rsid w:val="51D51D50"/>
    <w:rsid w:val="525E29B5"/>
    <w:rsid w:val="528A181C"/>
    <w:rsid w:val="52FF50A3"/>
    <w:rsid w:val="531E1B16"/>
    <w:rsid w:val="544A7794"/>
    <w:rsid w:val="544F0576"/>
    <w:rsid w:val="547748A2"/>
    <w:rsid w:val="553C3366"/>
    <w:rsid w:val="559B138A"/>
    <w:rsid w:val="560A4E69"/>
    <w:rsid w:val="56132672"/>
    <w:rsid w:val="575514CD"/>
    <w:rsid w:val="57577640"/>
    <w:rsid w:val="57F21DC7"/>
    <w:rsid w:val="58036524"/>
    <w:rsid w:val="586E14BF"/>
    <w:rsid w:val="58AD7D6B"/>
    <w:rsid w:val="595B14B9"/>
    <w:rsid w:val="5ABC3E58"/>
    <w:rsid w:val="5AE625AD"/>
    <w:rsid w:val="5C1839E9"/>
    <w:rsid w:val="5CE31FB3"/>
    <w:rsid w:val="5D702D81"/>
    <w:rsid w:val="5E5830B6"/>
    <w:rsid w:val="5ECA6000"/>
    <w:rsid w:val="5EE15B23"/>
    <w:rsid w:val="5F8D2114"/>
    <w:rsid w:val="5F946831"/>
    <w:rsid w:val="5FA34174"/>
    <w:rsid w:val="606737AA"/>
    <w:rsid w:val="61161572"/>
    <w:rsid w:val="61A907DA"/>
    <w:rsid w:val="61BE4069"/>
    <w:rsid w:val="61CB5D59"/>
    <w:rsid w:val="625957CD"/>
    <w:rsid w:val="62C87348"/>
    <w:rsid w:val="62EF34B9"/>
    <w:rsid w:val="62FF1157"/>
    <w:rsid w:val="63E31B13"/>
    <w:rsid w:val="644C405D"/>
    <w:rsid w:val="65B87C60"/>
    <w:rsid w:val="65CC54F7"/>
    <w:rsid w:val="663549B3"/>
    <w:rsid w:val="68012776"/>
    <w:rsid w:val="699A657E"/>
    <w:rsid w:val="69CE2026"/>
    <w:rsid w:val="6A03709F"/>
    <w:rsid w:val="6AAD28D9"/>
    <w:rsid w:val="6B20701A"/>
    <w:rsid w:val="6C397FC7"/>
    <w:rsid w:val="6CD81C1E"/>
    <w:rsid w:val="6CE978CE"/>
    <w:rsid w:val="6D561817"/>
    <w:rsid w:val="6DA24B6A"/>
    <w:rsid w:val="6E7716CA"/>
    <w:rsid w:val="6E8C0BE2"/>
    <w:rsid w:val="6EB26818"/>
    <w:rsid w:val="6EB73A9A"/>
    <w:rsid w:val="6EDA6A7D"/>
    <w:rsid w:val="70D04FAA"/>
    <w:rsid w:val="71085217"/>
    <w:rsid w:val="712C7C8C"/>
    <w:rsid w:val="71487ACE"/>
    <w:rsid w:val="745F6C7C"/>
    <w:rsid w:val="74A55024"/>
    <w:rsid w:val="750072B4"/>
    <w:rsid w:val="76732C9D"/>
    <w:rsid w:val="769F2D64"/>
    <w:rsid w:val="7732281D"/>
    <w:rsid w:val="778F795D"/>
    <w:rsid w:val="7805161F"/>
    <w:rsid w:val="78D366C6"/>
    <w:rsid w:val="798B53DB"/>
    <w:rsid w:val="79C23DD0"/>
    <w:rsid w:val="79E6728C"/>
    <w:rsid w:val="7A442306"/>
    <w:rsid w:val="7B315C9C"/>
    <w:rsid w:val="7B585E3C"/>
    <w:rsid w:val="7B7E06C4"/>
    <w:rsid w:val="7BC703CB"/>
    <w:rsid w:val="7BFC5DC1"/>
    <w:rsid w:val="7C140848"/>
    <w:rsid w:val="7C2524E2"/>
    <w:rsid w:val="7C585A30"/>
    <w:rsid w:val="7C7E29CD"/>
    <w:rsid w:val="7C815CBD"/>
    <w:rsid w:val="7C9877BF"/>
    <w:rsid w:val="7D4F649D"/>
    <w:rsid w:val="7D564C1D"/>
    <w:rsid w:val="7DC616C1"/>
    <w:rsid w:val="7E582255"/>
    <w:rsid w:val="7F15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footer"/>
    <w:basedOn w:val="1"/>
    <w:uiPriority w:val="0"/>
    <w:pPr>
      <w:tabs>
        <w:tab w:val="center" w:pos="4153"/>
        <w:tab w:val="right" w:pos="8306"/>
      </w:tabs>
      <w:snapToGrid w:val="0"/>
      <w:jc w:val="left"/>
    </w:pPr>
    <w:rPr>
      <w:sz w:val="18"/>
    </w:rPr>
  </w:style>
  <w:style w:type="paragraph" w:styleId="1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7">
    <w:name w:val="Table Grid"/>
    <w:basedOn w:val="16"/>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0">
    <w:name w:val="List Paragraph"/>
    <w:basedOn w:val="1"/>
    <w:qFormat/>
    <w:uiPriority w:val="34"/>
    <w:pPr>
      <w:spacing w:after="0"/>
      <w:ind w:left="840" w:leftChars="400" w:hanging="1440"/>
    </w:pPr>
    <w:rPr>
      <w:rFonts w:ascii="Times" w:hAnsi="Times" w:eastAsia="Batang"/>
      <w:szCs w:val="24"/>
    </w:rPr>
  </w:style>
  <w:style w:type="table" w:customStyle="1" w:styleId="21">
    <w:name w:val="Grid Table Light"/>
    <w:basedOn w:val="16"/>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AH"/>
    <w:basedOn w:val="24"/>
    <w:qFormat/>
    <w:uiPriority w:val="0"/>
    <w:rPr>
      <w:b/>
    </w:rPr>
  </w:style>
  <w:style w:type="paragraph" w:customStyle="1" w:styleId="24">
    <w:name w:val="TAC"/>
    <w:basedOn w:val="25"/>
    <w:qFormat/>
    <w:uiPriority w:val="0"/>
    <w:pPr>
      <w:jc w:val="center"/>
    </w:pPr>
  </w:style>
  <w:style w:type="paragraph" w:customStyle="1" w:styleId="25">
    <w:name w:val="TAL"/>
    <w:basedOn w:val="1"/>
    <w:qFormat/>
    <w:uiPriority w:val="99"/>
    <w:pPr>
      <w:keepNext/>
      <w:keepLines/>
      <w:spacing w:after="0"/>
    </w:pPr>
    <w:rPr>
      <w:rFonts w:ascii="Arial" w:hAnsi="Arial"/>
      <w:sz w:val="18"/>
    </w:rPr>
  </w:style>
  <w:style w:type="paragraph" w:customStyle="1" w:styleId="26">
    <w:name w:val="B1"/>
    <w:basedOn w:val="1"/>
    <w:qFormat/>
    <w:uiPriority w:val="0"/>
    <w:pPr>
      <w:ind w:left="568" w:hanging="284"/>
    </w:pPr>
  </w:style>
  <w:style w:type="paragraph" w:customStyle="1" w:styleId="27">
    <w:name w:val="EQ"/>
    <w:basedOn w:val="1"/>
    <w:next w:val="1"/>
    <w:qFormat/>
    <w:uiPriority w:val="0"/>
    <w:pPr>
      <w:keepLines/>
      <w:tabs>
        <w:tab w:val="center" w:pos="4536"/>
        <w:tab w:val="right" w:pos="9072"/>
      </w:tabs>
    </w:pPr>
  </w:style>
  <w:style w:type="paragraph" w:customStyle="1" w:styleId="28">
    <w:name w:val="B2"/>
    <w:basedOn w:val="12"/>
    <w:qFormat/>
    <w:uiPriority w:val="0"/>
  </w:style>
  <w:style w:type="paragraph" w:customStyle="1" w:styleId="29">
    <w:name w:val="NO"/>
    <w:basedOn w:val="1"/>
    <w:qFormat/>
    <w:uiPriority w:val="0"/>
    <w:pPr>
      <w:keepLines/>
      <w:ind w:left="1135" w:hanging="851"/>
    </w:pPr>
  </w:style>
  <w:style w:type="character" w:customStyle="1" w:styleId="30">
    <w:name w:val="fontstyle01"/>
    <w:basedOn w:val="18"/>
    <w:qFormat/>
    <w:uiPriority w:val="0"/>
    <w:rPr>
      <w:rFonts w:ascii="TimesNewRomanPS-ItalicMT" w:hAnsi="TimesNewRomanPS-ItalicMT" w:eastAsia="TimesNewRomanPS-ItalicMT" w:cs="TimesNewRomanPS-ItalicMT"/>
      <w:i/>
      <w:color w:val="00000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4</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2022-09-30T06:28:04Z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C7B3277468904E99B92D5AFD4D0084B0</vt:lpwstr>
  </property>
</Properties>
</file>